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12 (Clustering)</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b w:val="1"/>
          <w:color w:val="000000"/>
          <w:sz w:val="24"/>
          <w:szCs w:val="24"/>
          <w:rtl w:val="0"/>
        </w:rPr>
        <w:t xml:space="preserve">“Cluster Members"</w:t>
      </w:r>
      <w:r w:rsidDel="00000000" w:rsidR="00000000" w:rsidRPr="00000000">
        <w:rPr>
          <w:color w:val="000000"/>
          <w:sz w:val="24"/>
          <w:szCs w:val="24"/>
          <w:rtl w:val="0"/>
        </w:rPr>
        <w:t xml:space="preserve"> means a person named as such in the Annex A to this Schedule which shall be incorporated into the Order Form. </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Cluster Members benefits under the Contract</w:t>
      </w:r>
      <w:r w:rsidDel="00000000" w:rsidR="00000000" w:rsidRPr="00000000">
        <w:rPr>
          <w:rtl w:val="0"/>
        </w:rPr>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Buyer has entered into this Call-Off Contract both for its own benefit and for the benefit the Cluster Members.  </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0j0zll" w:id="0"/>
      <w:bookmarkEnd w:id="0"/>
      <w:r w:rsidDel="00000000" w:rsidR="00000000" w:rsidRPr="00000000">
        <w:rPr>
          <w:color w:val="000000"/>
          <w:sz w:val="24"/>
          <w:szCs w:val="24"/>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C">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1"/>
      <w:bookmarkEnd w:id="1"/>
      <w:r w:rsidDel="00000000" w:rsidR="00000000" w:rsidRPr="00000000">
        <w:rPr>
          <w:color w:val="000000"/>
          <w:sz w:val="24"/>
          <w:szCs w:val="24"/>
          <w:rtl w:val="0"/>
        </w:rPr>
        <w:t xml:space="preserve">The enforcement rights granted to Cluster Members under Paragraph 1.4 are subject to the following provisions: </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znysh7" w:id="2"/>
      <w:bookmarkEnd w:id="2"/>
      <w:r w:rsidDel="00000000" w:rsidR="00000000" w:rsidRPr="00000000">
        <w:rPr>
          <w:color w:val="000000"/>
          <w:sz w:val="24"/>
          <w:szCs w:val="24"/>
          <w:rtl w:val="0"/>
        </w:rPr>
        <w:t xml:space="preserve">the Buyer may enforce any provision of a Call-Off Contract on behalf of a Cluster Member;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Services will be provided by the Supplier to each Cluster Member and Buyer separately; </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obligation in regards to reporting will be owed to each Cluster Member and Buyer separately;</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Buyer and Cluster Members shall be entitled to separate invoices in respect of the provision of Deliverables; </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separate invoices will correlate to the Deliverables provided to the respective Buyer and Cluster Members;</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et92p0" w:id="3"/>
      <w:bookmarkEnd w:id="3"/>
      <w:r w:rsidDel="00000000" w:rsidR="00000000" w:rsidRPr="00000000">
        <w:rPr>
          <w:color w:val="000000"/>
          <w:sz w:val="24"/>
          <w:szCs w:val="24"/>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such further adjustments as the Buyer and each Cluster Member may notify to the Supplier from time to time. </w:t>
      </w:r>
    </w:p>
    <w:p w:rsidR="00000000" w:rsidDel="00000000" w:rsidP="00000000" w:rsidRDefault="00000000" w:rsidRPr="00000000" w14:paraId="00000018">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0" w:firstLine="0"/>
        <w:jc w:val="left"/>
        <w:rPr>
          <w:color w:val="000000"/>
          <w:sz w:val="24"/>
          <w:szCs w:val="24"/>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Annex A – Cluster Members</w:t>
      </w:r>
      <w:r w:rsidDel="00000000" w:rsidR="00000000" w:rsidRPr="00000000">
        <w:rPr>
          <w:rtl w:val="0"/>
        </w:rPr>
      </w:r>
    </w:p>
    <w:p w:rsidR="00000000" w:rsidDel="00000000" w:rsidP="00000000" w:rsidRDefault="00000000" w:rsidRPr="00000000" w14:paraId="0000001B">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C">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0">
            <w:pPr>
              <w:keepNext w:val="1"/>
              <w:keepLines w:val="1"/>
              <w:spacing w:before="200" w:line="276" w:lineRule="auto"/>
              <w:ind w:left="0" w:firstLine="0"/>
              <w:jc w:val="left"/>
              <w:rPr>
                <w:sz w:val="24"/>
                <w:szCs w:val="24"/>
                <w:highlight w:val="white"/>
              </w:rPr>
            </w:pPr>
            <w:r w:rsidDel="00000000" w:rsidR="00000000" w:rsidRPr="00000000">
              <w:rPr>
                <w:sz w:val="24"/>
                <w:szCs w:val="24"/>
                <w:highlight w:val="white"/>
                <w:rtl w:val="0"/>
              </w:rPr>
              <w:t xml:space="preserve">IBCA - Infected Blood Inquiry organisation - CO NDPB</w:t>
            </w:r>
          </w:p>
        </w:tc>
        <w:tc>
          <w:tcPr/>
          <w:p w:rsidR="00000000" w:rsidDel="00000000" w:rsidP="00000000" w:rsidRDefault="00000000" w:rsidRPr="00000000" w14:paraId="00000021">
            <w:pPr>
              <w:keepNext w:val="1"/>
              <w:keepLines w:val="1"/>
              <w:spacing w:before="200" w:line="276" w:lineRule="auto"/>
              <w:ind w:left="0" w:firstLine="0"/>
              <w:jc w:val="left"/>
              <w:rPr>
                <w:sz w:val="24"/>
                <w:szCs w:val="24"/>
                <w:highlight w:val="white"/>
              </w:rPr>
            </w:pPr>
            <w:r w:rsidDel="00000000" w:rsidR="00000000" w:rsidRPr="00000000">
              <w:rPr>
                <w:sz w:val="24"/>
                <w:szCs w:val="24"/>
                <w:highlight w:val="white"/>
                <w:rtl w:val="0"/>
              </w:rPr>
              <w:t xml:space="preserve">ERP client side services - including, onboarding of the new organisation.</w:t>
            </w:r>
          </w:p>
        </w:tc>
        <w:tc>
          <w:tcPr/>
          <w:p w:rsidR="00000000" w:rsidDel="00000000" w:rsidP="00000000" w:rsidRDefault="00000000" w:rsidRPr="00000000" w14:paraId="00000022">
            <w:pPr>
              <w:keepNext w:val="1"/>
              <w:keepLines w:val="1"/>
              <w:spacing w:before="200" w:line="276" w:lineRule="auto"/>
              <w:ind w:left="0" w:firstLine="0"/>
              <w:jc w:val="left"/>
              <w:rPr>
                <w:sz w:val="24"/>
                <w:szCs w:val="24"/>
                <w:highlight w:val="white"/>
              </w:rPr>
            </w:pPr>
            <w:r w:rsidDel="00000000" w:rsidR="00000000" w:rsidRPr="00000000">
              <w:rPr>
                <w:sz w:val="24"/>
                <w:szCs w:val="24"/>
                <w:highlight w:val="white"/>
                <w:rtl w:val="0"/>
              </w:rPr>
              <w:t xml:space="preserve">12-18 months</w:t>
            </w:r>
          </w:p>
        </w:tc>
        <w:tc>
          <w:tcPr/>
          <w:p w:rsidR="00000000" w:rsidDel="00000000" w:rsidP="00000000" w:rsidRDefault="00000000" w:rsidRPr="00000000" w14:paraId="00000023">
            <w:pPr>
              <w:keepNext w:val="1"/>
              <w:keepLines w:val="1"/>
              <w:spacing w:before="200" w:line="276" w:lineRule="auto"/>
              <w:ind w:left="0" w:firstLine="0"/>
              <w:jc w:val="left"/>
              <w:rPr>
                <w:sz w:val="24"/>
                <w:szCs w:val="24"/>
                <w:highlight w:val="white"/>
              </w:rPr>
            </w:pPr>
            <w:r w:rsidDel="00000000" w:rsidR="00000000" w:rsidRPr="00000000">
              <w:rPr>
                <w:sz w:val="24"/>
                <w:szCs w:val="24"/>
                <w:highlight w:val="white"/>
                <w:rtl w:val="0"/>
              </w:rPr>
              <w:t xml:space="preserve">N/A</w:t>
            </w:r>
          </w:p>
        </w:tc>
      </w:tr>
    </w:tbl>
    <w:p w:rsidR="00000000" w:rsidDel="00000000" w:rsidP="00000000" w:rsidRDefault="00000000" w:rsidRPr="00000000" w14:paraId="00000024">
      <w:pPr>
        <w:pBdr>
          <w:top w:space="0" w:sz="0" w:val="nil"/>
          <w:left w:space="0" w:sz="0" w:val="nil"/>
          <w:bottom w:space="0" w:sz="0" w:val="nil"/>
          <w:right w:space="0" w:sz="0" w:val="nil"/>
          <w:between w:space="0" w:sz="0" w:val="nil"/>
        </w:pBdr>
        <w:ind w:left="0" w:firstLine="0"/>
        <w:jc w:val="left"/>
        <w:rPr>
          <w:rFonts w:ascii="Calibri" w:cs="Calibri" w:eastAsia="Calibri" w:hAnsi="Calibri"/>
          <w:b w:val="1"/>
          <w:color w:val="000000"/>
          <w:sz w:val="24"/>
          <w:szCs w:val="24"/>
          <w:u w:val="single"/>
        </w:rPr>
      </w:pPr>
      <w:bookmarkStart w:colFirst="0" w:colLast="0" w:name="_heading=h.tyjcwt" w:id="4"/>
      <w:bookmarkEnd w:id="4"/>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RM6193</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26">
    <w:pPr>
      <w:tabs>
        <w:tab w:val="left" w:leader="none"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27">
    <w:pPr>
      <w:tabs>
        <w:tab w:val="left" w:leader="none"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20</w:t>
    </w:r>
    <w:r w:rsidDel="00000000" w:rsidR="00000000" w:rsidRPr="00000000">
      <w:rPr>
        <w:rtl w:val="0"/>
      </w:rPr>
    </w:r>
  </w:p>
  <w:p w:rsidR="00000000" w:rsidDel="00000000" w:rsidP="00000000" w:rsidRDefault="00000000" w:rsidRPr="00000000" w14:paraId="00000028">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1440" w:hanging="720"/>
    </w:pPr>
    <w:rPr>
      <w:rFonts w:ascii="Times New Roman" w:cs="Times New Roman" w:eastAsia="Times New Roman" w:hAnsi="Times New Roman"/>
    </w:rPr>
  </w:style>
  <w:style w:type="paragraph" w:styleId="Heading3">
    <w:name w:val="heading 3"/>
    <w:basedOn w:val="Normal"/>
    <w:next w:val="Normal"/>
    <w:pPr>
      <w:ind w:left="2160" w:hanging="720"/>
    </w:pPr>
    <w:rPr>
      <w:rFonts w:ascii="Times New Roman" w:cs="Times New Roman" w:eastAsia="Times New Roman" w:hAnsi="Times New Roman"/>
    </w:rPr>
  </w:style>
  <w:style w:type="paragraph" w:styleId="Heading4">
    <w:name w:val="heading 4"/>
    <w:basedOn w:val="Normal"/>
    <w:next w:val="Normal"/>
    <w:pPr>
      <w:ind w:left="2880" w:hanging="72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link w:val="Heading1Char"/>
    <w:qFormat w:val="1"/>
    <w:pPr>
      <w:numPr>
        <w:numId w:val="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tabs>
        <w:tab w:val="left" w:pos="-9"/>
        <w:tab w:val="num" w:pos="720"/>
      </w:tabs>
      <w:spacing w:after="120"/>
      <w:ind w:left="720" w:hanging="720"/>
    </w:pPr>
  </w:style>
  <w:style w:type="paragraph" w:styleId="GPSDefinitionL2" w:customStyle="1">
    <w:name w:val="GPS Definition L2"/>
    <w:basedOn w:val="GPsDefinition"/>
    <w:qFormat w:val="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pPr>
      <w:numPr>
        <w:ilvl w:val="2"/>
      </w:numPr>
      <w:tabs>
        <w:tab w:val="num" w:pos="720"/>
      </w:tabs>
      <w:ind w:left="720" w:hanging="545"/>
    </w:pPr>
  </w:style>
  <w:style w:type="paragraph" w:styleId="GPSDefinitionL4" w:customStyle="1">
    <w:name w:val="GPS Definition L4"/>
    <w:basedOn w:val="GPSDefinitionL3"/>
    <w:qFormat w:val="1"/>
    <w:pPr>
      <w:numPr>
        <w:ilvl w:val="3"/>
      </w:numPr>
      <w:tabs>
        <w:tab w:val="num" w:pos="720"/>
      </w:tabs>
      <w:ind w:left="720" w:hanging="545"/>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rPr>
      <w:rFonts w:ascii="Calibri" w:cs="Calibri" w:eastAsia="Calibri" w:hAnsi="Calibri"/>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T9EBJw0PQO0I3S1YTlOS1EMzUQ==">CgMxLjAyCWguMzBqMHpsbDIJaC4xZm9iOXRlMgloLjN6bnlzaDcyCWguMmV0OTJwMDIIaC50eWpjd3Q4AHIhMUV5VjRpLXhkYUVtRTZzNUdaajVmZTMzUWxfVnBrZWtl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2020-11-06T14:17:00Z</dcterms:created>
  <dc:creator>Richard Landor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